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580" w:type="dxa"/>
        <w:tblInd w:w="-176" w:type="dxa"/>
        <w:tblCellMar>
          <w:left w:w="0" w:type="dxa"/>
          <w:right w:w="0" w:type="dxa"/>
        </w:tblCellMar>
        <w:tblLook w:val="04A0" w:firstRow="1" w:lastRow="0" w:firstColumn="1" w:lastColumn="0" w:noHBand="0" w:noVBand="1"/>
      </w:tblPr>
      <w:tblGrid>
        <w:gridCol w:w="3524"/>
        <w:gridCol w:w="5387"/>
        <w:gridCol w:w="5669"/>
      </w:tblGrid>
      <w:tr w:rsidR="00281CD3" w:rsidTr="00281CD3">
        <w:tc>
          <w:tcPr>
            <w:tcW w:w="3524"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hideMark/>
          </w:tcPr>
          <w:p w:rsidR="00281CD3" w:rsidRDefault="00281CD3">
            <w:pPr>
              <w:rPr>
                <w:b/>
                <w:bCs/>
                <w:sz w:val="20"/>
                <w:szCs w:val="20"/>
              </w:rPr>
            </w:pPr>
            <w:r>
              <w:rPr>
                <w:b/>
                <w:bCs/>
                <w:sz w:val="20"/>
                <w:szCs w:val="20"/>
              </w:rPr>
              <w:t>IAP Chapter (and Sub-C</w:t>
            </w:r>
            <w:bookmarkStart w:id="0" w:name="_GoBack"/>
            <w:bookmarkEnd w:id="0"/>
            <w:r>
              <w:rPr>
                <w:b/>
                <w:bCs/>
                <w:sz w:val="20"/>
                <w:szCs w:val="20"/>
              </w:rPr>
              <w:t xml:space="preserve">hapter and Section Heading, if any) </w:t>
            </w:r>
          </w:p>
        </w:tc>
        <w:tc>
          <w:tcPr>
            <w:tcW w:w="5387"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hideMark/>
          </w:tcPr>
          <w:p w:rsidR="00281CD3" w:rsidRDefault="00281CD3">
            <w:pPr>
              <w:rPr>
                <w:b/>
                <w:bCs/>
                <w:sz w:val="20"/>
                <w:szCs w:val="20"/>
              </w:rPr>
            </w:pPr>
            <w:r>
              <w:rPr>
                <w:b/>
                <w:bCs/>
                <w:sz w:val="20"/>
                <w:szCs w:val="20"/>
              </w:rPr>
              <w:t xml:space="preserve">Improvements made since  2013 IAP </w:t>
            </w:r>
          </w:p>
        </w:tc>
        <w:tc>
          <w:tcPr>
            <w:tcW w:w="5669"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hideMark/>
          </w:tcPr>
          <w:p w:rsidR="00281CD3" w:rsidRDefault="00281CD3">
            <w:pPr>
              <w:rPr>
                <w:b/>
                <w:bCs/>
                <w:sz w:val="20"/>
                <w:szCs w:val="20"/>
                <w:lang w:val="en-AU"/>
              </w:rPr>
            </w:pPr>
            <w:r>
              <w:rPr>
                <w:b/>
                <w:bCs/>
                <w:sz w:val="20"/>
                <w:szCs w:val="20"/>
                <w:lang w:val="en-AU"/>
              </w:rPr>
              <w:t xml:space="preserve">Further Improvements Planned </w:t>
            </w:r>
          </w:p>
        </w:tc>
      </w:tr>
      <w:tr w:rsidR="00281CD3" w:rsidTr="00281CD3">
        <w:tc>
          <w:tcPr>
            <w:tcW w:w="35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81CD3" w:rsidRDefault="00281CD3">
            <w:pPr>
              <w:rPr>
                <w:b/>
                <w:bCs/>
                <w:i/>
                <w:iCs/>
                <w:sz w:val="20"/>
                <w:szCs w:val="20"/>
                <w:lang w:val="en-AU"/>
              </w:rPr>
            </w:pPr>
            <w:r>
              <w:rPr>
                <w:b/>
                <w:bCs/>
                <w:i/>
                <w:iCs/>
                <w:sz w:val="20"/>
                <w:szCs w:val="20"/>
              </w:rPr>
              <w:t>Competition Policy</w:t>
            </w:r>
          </w:p>
          <w:p w:rsidR="00281CD3" w:rsidRDefault="00281CD3">
            <w:pPr>
              <w:rPr>
                <w:b/>
                <w:bCs/>
                <w:i/>
                <w:iCs/>
                <w:sz w:val="20"/>
                <w:szCs w:val="20"/>
                <w:lang w:val="en-AU"/>
              </w:rPr>
            </w:pPr>
          </w:p>
        </w:tc>
        <w:tc>
          <w:tcPr>
            <w:tcW w:w="5387" w:type="dxa"/>
            <w:tcBorders>
              <w:top w:val="nil"/>
              <w:left w:val="nil"/>
              <w:bottom w:val="single" w:sz="8" w:space="0" w:color="auto"/>
              <w:right w:val="single" w:sz="8" w:space="0" w:color="auto"/>
            </w:tcBorders>
            <w:tcMar>
              <w:top w:w="0" w:type="dxa"/>
              <w:left w:w="108" w:type="dxa"/>
              <w:bottom w:w="0" w:type="dxa"/>
              <w:right w:w="108" w:type="dxa"/>
            </w:tcMar>
          </w:tcPr>
          <w:p w:rsidR="00281CD3" w:rsidRDefault="00281CD3">
            <w:pPr>
              <w:rPr>
                <w:sz w:val="20"/>
                <w:szCs w:val="20"/>
                <w:lang w:val="en-AU"/>
              </w:rPr>
            </w:pPr>
            <w:bookmarkStart w:id="1" w:name="Cell15"/>
            <w:bookmarkEnd w:id="1"/>
            <w:r>
              <w:rPr>
                <w:sz w:val="20"/>
                <w:szCs w:val="20"/>
              </w:rPr>
              <w:t>The Competition Bureau Canada (Bureau) is committed to enhancing the impact of its competition compliance and promotion efforts through increased collaboration with its international enforcement partners. International partnerships enhance the impact of the Bureau’s work in ensuring that Canadian consumers benefit from competitive prices and increased product choices, and that Canadian businesses prosper in both domestic and foreign markets.</w:t>
            </w:r>
          </w:p>
          <w:p w:rsidR="00281CD3" w:rsidRDefault="00281CD3">
            <w:pPr>
              <w:rPr>
                <w:sz w:val="20"/>
                <w:szCs w:val="20"/>
              </w:rPr>
            </w:pPr>
          </w:p>
          <w:p w:rsidR="00281CD3" w:rsidRDefault="00281CD3">
            <w:pPr>
              <w:rPr>
                <w:sz w:val="20"/>
                <w:szCs w:val="20"/>
              </w:rPr>
            </w:pPr>
            <w:r>
              <w:rPr>
                <w:sz w:val="20"/>
                <w:szCs w:val="20"/>
              </w:rPr>
              <w:t xml:space="preserve">In the past year, the Bureau has signed Memoranda of Understanding (MOU) to facilitate cooperation with the People’s Republic of China’s (PRC) three antitrust authorities. The Bureau signed an MOU with the State Administration for Industry and Commerce of the PRC in March 2015, with the Ministry of Commerce of the PRC in May 2015, and with the National Development and Reform Commission of the PRC in February 2016. </w:t>
            </w:r>
          </w:p>
          <w:p w:rsidR="00281CD3" w:rsidRDefault="00281CD3">
            <w:pPr>
              <w:rPr>
                <w:sz w:val="20"/>
                <w:szCs w:val="20"/>
              </w:rPr>
            </w:pPr>
          </w:p>
          <w:p w:rsidR="00281CD3" w:rsidRDefault="00281CD3">
            <w:pPr>
              <w:rPr>
                <w:sz w:val="20"/>
                <w:szCs w:val="20"/>
              </w:rPr>
            </w:pPr>
            <w:r>
              <w:rPr>
                <w:sz w:val="20"/>
                <w:szCs w:val="20"/>
              </w:rPr>
              <w:t xml:space="preserve">Furthermore, Canada's anti-spam legislation (CASL) came into effect July 1, 2014. CASL included amendments to the </w:t>
            </w:r>
            <w:r>
              <w:rPr>
                <w:i/>
                <w:iCs/>
                <w:sz w:val="20"/>
                <w:szCs w:val="20"/>
              </w:rPr>
              <w:t>Competition Act</w:t>
            </w:r>
            <w:r>
              <w:rPr>
                <w:sz w:val="20"/>
                <w:szCs w:val="20"/>
              </w:rPr>
              <w:t xml:space="preserve">. These amendments enable the Bureau to more effectively address false or misleading representations and deceptive marketing practices in the electronic marketplace, including false or misleading electronic messages and website content. The amendments include technology-neutral language that catches emerging technologies. This will assist the Bureau in enforcing provisions in the </w:t>
            </w:r>
            <w:r>
              <w:rPr>
                <w:i/>
                <w:iCs/>
                <w:sz w:val="20"/>
                <w:szCs w:val="20"/>
              </w:rPr>
              <w:t>Competition Act</w:t>
            </w:r>
            <w:r>
              <w:rPr>
                <w:sz w:val="20"/>
                <w:szCs w:val="20"/>
              </w:rPr>
              <w:t xml:space="preserve"> as technological threats evolve.</w:t>
            </w:r>
          </w:p>
          <w:p w:rsidR="00281CD3" w:rsidRDefault="00281CD3">
            <w:pPr>
              <w:rPr>
                <w:sz w:val="20"/>
                <w:szCs w:val="20"/>
                <w:lang w:val="en-AU"/>
              </w:rPr>
            </w:pPr>
          </w:p>
        </w:tc>
        <w:tc>
          <w:tcPr>
            <w:tcW w:w="5669" w:type="dxa"/>
            <w:tcBorders>
              <w:top w:val="nil"/>
              <w:left w:val="nil"/>
              <w:bottom w:val="single" w:sz="8" w:space="0" w:color="auto"/>
              <w:right w:val="single" w:sz="8" w:space="0" w:color="auto"/>
            </w:tcBorders>
            <w:tcMar>
              <w:top w:w="0" w:type="dxa"/>
              <w:left w:w="108" w:type="dxa"/>
              <w:bottom w:w="0" w:type="dxa"/>
              <w:right w:w="108" w:type="dxa"/>
            </w:tcMar>
            <w:hideMark/>
          </w:tcPr>
          <w:p w:rsidR="00281CD3" w:rsidRDefault="00281CD3">
            <w:pPr>
              <w:rPr>
                <w:sz w:val="20"/>
                <w:szCs w:val="20"/>
                <w:lang w:val="en-AU"/>
              </w:rPr>
            </w:pPr>
            <w:bookmarkStart w:id="2" w:name="Cell16"/>
            <w:bookmarkEnd w:id="2"/>
          </w:p>
        </w:tc>
      </w:tr>
      <w:tr w:rsidR="00281CD3" w:rsidTr="00281CD3">
        <w:tc>
          <w:tcPr>
            <w:tcW w:w="35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81CD3" w:rsidRDefault="00281CD3">
            <w:pPr>
              <w:keepNext/>
              <w:rPr>
                <w:i/>
                <w:iCs/>
                <w:color w:val="808080"/>
                <w:sz w:val="20"/>
                <w:szCs w:val="20"/>
                <w:lang w:val="en-AU"/>
              </w:rPr>
            </w:pPr>
            <w:r>
              <w:rPr>
                <w:i/>
                <w:iCs/>
                <w:color w:val="808080"/>
                <w:sz w:val="20"/>
                <w:szCs w:val="20"/>
                <w:lang w:val="en-AU"/>
              </w:rPr>
              <w:t xml:space="preserve">Website for further information:  </w:t>
            </w:r>
          </w:p>
        </w:tc>
        <w:tc>
          <w:tcPr>
            <w:tcW w:w="5387" w:type="dxa"/>
            <w:tcBorders>
              <w:top w:val="nil"/>
              <w:left w:val="nil"/>
              <w:bottom w:val="single" w:sz="8" w:space="0" w:color="auto"/>
              <w:right w:val="single" w:sz="8" w:space="0" w:color="auto"/>
            </w:tcBorders>
            <w:tcMar>
              <w:top w:w="0" w:type="dxa"/>
              <w:left w:w="108" w:type="dxa"/>
              <w:bottom w:w="0" w:type="dxa"/>
              <w:right w:w="108" w:type="dxa"/>
            </w:tcMar>
            <w:hideMark/>
          </w:tcPr>
          <w:p w:rsidR="00281CD3" w:rsidRDefault="00281CD3">
            <w:pPr>
              <w:keepNext/>
              <w:rPr>
                <w:i/>
                <w:iCs/>
                <w:sz w:val="20"/>
                <w:szCs w:val="20"/>
                <w:lang w:val="en-AU"/>
              </w:rPr>
            </w:pPr>
            <w:hyperlink r:id="rId4" w:history="1">
              <w:r>
                <w:rPr>
                  <w:rStyle w:val="Hyperlink"/>
                  <w:i/>
                  <w:iCs/>
                  <w:color w:val="0000FF"/>
                  <w:sz w:val="20"/>
                  <w:szCs w:val="20"/>
                  <w:lang w:val="en-AU"/>
                </w:rPr>
                <w:t>http://www.competitionbureau.gc.ca/</w:t>
              </w:r>
            </w:hyperlink>
          </w:p>
        </w:tc>
        <w:tc>
          <w:tcPr>
            <w:tcW w:w="5669" w:type="dxa"/>
            <w:tcBorders>
              <w:top w:val="nil"/>
              <w:left w:val="nil"/>
              <w:bottom w:val="single" w:sz="8" w:space="0" w:color="auto"/>
              <w:right w:val="single" w:sz="8" w:space="0" w:color="auto"/>
            </w:tcBorders>
            <w:tcMar>
              <w:top w:w="0" w:type="dxa"/>
              <w:left w:w="108" w:type="dxa"/>
              <w:bottom w:w="0" w:type="dxa"/>
              <w:right w:w="108" w:type="dxa"/>
            </w:tcMar>
          </w:tcPr>
          <w:p w:rsidR="00281CD3" w:rsidRDefault="00281CD3">
            <w:pPr>
              <w:keepNext/>
              <w:rPr>
                <w:i/>
                <w:iCs/>
                <w:sz w:val="20"/>
                <w:szCs w:val="20"/>
                <w:lang w:val="en-AU"/>
              </w:rPr>
            </w:pPr>
          </w:p>
        </w:tc>
      </w:tr>
      <w:tr w:rsidR="00281CD3" w:rsidTr="00281CD3">
        <w:tc>
          <w:tcPr>
            <w:tcW w:w="35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81CD3" w:rsidRDefault="00281CD3">
            <w:pPr>
              <w:keepNext/>
              <w:rPr>
                <w:i/>
                <w:iCs/>
                <w:color w:val="808080"/>
                <w:sz w:val="20"/>
                <w:szCs w:val="20"/>
                <w:lang w:val="en-AU"/>
              </w:rPr>
            </w:pPr>
            <w:r>
              <w:rPr>
                <w:i/>
                <w:iCs/>
                <w:color w:val="808080"/>
                <w:sz w:val="20"/>
                <w:szCs w:val="20"/>
                <w:lang w:val="en-AU"/>
              </w:rPr>
              <w:t>Contact point for further details:</w:t>
            </w:r>
          </w:p>
        </w:tc>
        <w:tc>
          <w:tcPr>
            <w:tcW w:w="5387" w:type="dxa"/>
            <w:tcBorders>
              <w:top w:val="nil"/>
              <w:left w:val="nil"/>
              <w:bottom w:val="single" w:sz="8" w:space="0" w:color="auto"/>
              <w:right w:val="single" w:sz="8" w:space="0" w:color="auto"/>
            </w:tcBorders>
            <w:tcMar>
              <w:top w:w="0" w:type="dxa"/>
              <w:left w:w="108" w:type="dxa"/>
              <w:bottom w:w="0" w:type="dxa"/>
              <w:right w:w="108" w:type="dxa"/>
            </w:tcMar>
            <w:hideMark/>
          </w:tcPr>
          <w:p w:rsidR="00281CD3" w:rsidRDefault="00281CD3">
            <w:pPr>
              <w:rPr>
                <w:sz w:val="20"/>
                <w:szCs w:val="20"/>
                <w:lang w:val="en-AU"/>
              </w:rPr>
            </w:pPr>
            <w:hyperlink r:id="rId5" w:history="1">
              <w:r>
                <w:rPr>
                  <w:rStyle w:val="Hyperlink"/>
                  <w:color w:val="0000FF"/>
                  <w:sz w:val="20"/>
                  <w:szCs w:val="20"/>
                </w:rPr>
                <w:t>ic.affairsinternational-cb-bc-ncr-rcn.ic@canada.ca</w:t>
              </w:r>
            </w:hyperlink>
          </w:p>
        </w:tc>
        <w:tc>
          <w:tcPr>
            <w:tcW w:w="5669" w:type="dxa"/>
            <w:tcBorders>
              <w:top w:val="nil"/>
              <w:left w:val="nil"/>
              <w:bottom w:val="single" w:sz="8" w:space="0" w:color="auto"/>
              <w:right w:val="single" w:sz="8" w:space="0" w:color="auto"/>
            </w:tcBorders>
            <w:tcMar>
              <w:top w:w="0" w:type="dxa"/>
              <w:left w:w="108" w:type="dxa"/>
              <w:bottom w:w="0" w:type="dxa"/>
              <w:right w:w="108" w:type="dxa"/>
            </w:tcMar>
          </w:tcPr>
          <w:p w:rsidR="00281CD3" w:rsidRDefault="00281CD3">
            <w:pPr>
              <w:keepNext/>
              <w:rPr>
                <w:i/>
                <w:iCs/>
                <w:sz w:val="20"/>
                <w:szCs w:val="20"/>
                <w:lang w:val="en-AU"/>
              </w:rPr>
            </w:pPr>
          </w:p>
        </w:tc>
      </w:tr>
    </w:tbl>
    <w:p w:rsidR="00281CD3" w:rsidRDefault="00281CD3" w:rsidP="00281CD3">
      <w:pPr>
        <w:rPr>
          <w:color w:val="1F497D"/>
          <w:lang w:val="en-CA"/>
        </w:rPr>
      </w:pPr>
    </w:p>
    <w:p w:rsidR="006325E7" w:rsidRDefault="006325E7"/>
    <w:sectPr w:rsidR="006325E7" w:rsidSect="00281CD3">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CD3"/>
    <w:rsid w:val="00281CD3"/>
    <w:rsid w:val="006325E7"/>
    <w:rsid w:val="00701040"/>
    <w:rsid w:val="00A76C7A"/>
    <w:rsid w:val="00C35FB3"/>
    <w:rsid w:val="00CE4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33C03F-461F-4976-85A4-B838BBEB9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1CD3"/>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81CD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9026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ic.affairsinternational-cb-bc-ncr-rcn.ic@canada.ca" TargetMode="External"/><Relationship Id="rId4" Type="http://schemas.openxmlformats.org/officeDocument/2006/relationships/hyperlink" Target="http://www.competitionbureau.gc.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278</Words>
  <Characters>1587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 Cheok Jia Yuan</dc:creator>
  <cp:keywords/>
  <dc:description/>
  <cp:lastModifiedBy>Denise Cheok Jia Yuan</cp:lastModifiedBy>
  <cp:revision>1</cp:revision>
  <dcterms:created xsi:type="dcterms:W3CDTF">2016-08-10T01:18:00Z</dcterms:created>
  <dcterms:modified xsi:type="dcterms:W3CDTF">2016-08-10T01:19:00Z</dcterms:modified>
</cp:coreProperties>
</file>